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A15BB" w14:textId="2B5A6AA7" w:rsidR="00FA11FE" w:rsidRDefault="00FA11FE"/>
    <w:p w14:paraId="592056E3" w14:textId="13337FA3" w:rsidR="00FA11FE" w:rsidRPr="00D10E64" w:rsidRDefault="00977120" w:rsidP="00FA11FE">
      <w:pPr>
        <w:jc w:val="center"/>
        <w:rPr>
          <w:rFonts w:ascii="Poppins" w:hAnsi="Poppins" w:cs="Poppins"/>
          <w:b/>
          <w:sz w:val="28"/>
          <w:szCs w:val="28"/>
        </w:rPr>
      </w:pPr>
      <w:r w:rsidRPr="00D10E64">
        <w:rPr>
          <w:rFonts w:ascii="Poppins" w:hAnsi="Poppins" w:cs="Poppins"/>
          <w:b/>
          <w:sz w:val="28"/>
          <w:szCs w:val="28"/>
        </w:rPr>
        <w:t xml:space="preserve">Tenancy Sustainment </w:t>
      </w:r>
      <w:r w:rsidR="00CC2970" w:rsidRPr="00D10E64">
        <w:rPr>
          <w:rFonts w:ascii="Poppins" w:hAnsi="Poppins" w:cs="Poppins"/>
          <w:b/>
          <w:sz w:val="28"/>
          <w:szCs w:val="28"/>
        </w:rPr>
        <w:t xml:space="preserve">Support </w:t>
      </w:r>
      <w:r w:rsidRPr="00D10E64">
        <w:rPr>
          <w:rFonts w:ascii="Poppins" w:hAnsi="Poppins" w:cs="Poppins"/>
          <w:b/>
          <w:sz w:val="28"/>
          <w:szCs w:val="28"/>
        </w:rPr>
        <w:t>Worker</w:t>
      </w:r>
    </w:p>
    <w:p w14:paraId="48B225E5" w14:textId="77777777" w:rsidR="00FA11FE" w:rsidRPr="00D10E64" w:rsidRDefault="00FA11FE" w:rsidP="00FA11FE">
      <w:pPr>
        <w:jc w:val="center"/>
        <w:rPr>
          <w:rFonts w:ascii="Poppins" w:hAnsi="Poppins" w:cs="Poppins"/>
          <w:b/>
          <w:sz w:val="28"/>
          <w:szCs w:val="28"/>
        </w:rPr>
      </w:pPr>
      <w:r w:rsidRPr="00D10E64">
        <w:rPr>
          <w:rFonts w:ascii="Poppins" w:hAnsi="Poppins" w:cs="Poppins"/>
          <w:b/>
          <w:sz w:val="28"/>
          <w:szCs w:val="28"/>
        </w:rPr>
        <w:t>JOB DESCRIPTION</w:t>
      </w:r>
    </w:p>
    <w:p w14:paraId="75649D73" w14:textId="77777777" w:rsidR="006B69CB" w:rsidRPr="00D10E64" w:rsidRDefault="006B69CB" w:rsidP="00B673FD">
      <w:pPr>
        <w:pStyle w:val="Heading1"/>
        <w:rPr>
          <w:rFonts w:ascii="Poppins" w:hAnsi="Poppins" w:cs="Poppins"/>
        </w:rPr>
      </w:pPr>
    </w:p>
    <w:p w14:paraId="744F5B7A" w14:textId="26F4756D" w:rsidR="00881A9B" w:rsidRPr="00D10E64" w:rsidRDefault="00881A9B" w:rsidP="00B673FD">
      <w:pPr>
        <w:pStyle w:val="Heading1"/>
        <w:rPr>
          <w:rFonts w:ascii="Poppins" w:hAnsi="Poppins" w:cs="Poppins"/>
        </w:rPr>
      </w:pPr>
      <w:r w:rsidRPr="00D10E64">
        <w:rPr>
          <w:rFonts w:ascii="Poppins" w:hAnsi="Poppins" w:cs="Poppins"/>
        </w:rPr>
        <w:t>Summary of the Role</w:t>
      </w:r>
      <w:r w:rsidR="006748F2" w:rsidRPr="00D10E64">
        <w:rPr>
          <w:rFonts w:ascii="Poppins" w:hAnsi="Poppins" w:cs="Poppins"/>
        </w:rPr>
        <w:t xml:space="preserve">: </w:t>
      </w:r>
    </w:p>
    <w:p w14:paraId="0B499D8F" w14:textId="77777777" w:rsidR="006748F2" w:rsidRPr="00D10E64" w:rsidRDefault="006748F2" w:rsidP="006748F2">
      <w:pPr>
        <w:rPr>
          <w:rFonts w:ascii="Poppins" w:hAnsi="Poppins" w:cs="Poppins"/>
        </w:rPr>
      </w:pPr>
    </w:p>
    <w:p w14:paraId="23754F22" w14:textId="47E1E4CB" w:rsidR="00881A9B" w:rsidRPr="00D10E64" w:rsidRDefault="00FA11FE" w:rsidP="00881A9B">
      <w:pPr>
        <w:autoSpaceDE w:val="0"/>
        <w:autoSpaceDN w:val="0"/>
        <w:adjustRightInd w:val="0"/>
        <w:jc w:val="both"/>
        <w:rPr>
          <w:rFonts w:ascii="Poppins" w:hAnsi="Poppins" w:cs="Poppins"/>
        </w:rPr>
      </w:pPr>
      <w:r w:rsidRPr="00D10E64">
        <w:rPr>
          <w:rFonts w:ascii="Poppins" w:hAnsi="Poppins" w:cs="Poppins"/>
        </w:rPr>
        <w:t>The</w:t>
      </w:r>
      <w:r w:rsidR="006748F2" w:rsidRPr="00D10E64">
        <w:rPr>
          <w:rFonts w:ascii="Poppins" w:hAnsi="Poppins" w:cs="Poppins"/>
        </w:rPr>
        <w:t xml:space="preserve"> </w:t>
      </w:r>
      <w:r w:rsidR="00977120" w:rsidRPr="00D10E64">
        <w:rPr>
          <w:rFonts w:ascii="Poppins" w:hAnsi="Poppins" w:cs="Poppins"/>
        </w:rPr>
        <w:t>Tenancy Sustainment Worker</w:t>
      </w:r>
      <w:r w:rsidR="00881A9B" w:rsidRPr="00D10E64">
        <w:rPr>
          <w:rFonts w:ascii="Poppins" w:hAnsi="Poppins" w:cs="Poppins"/>
        </w:rPr>
        <w:t xml:space="preserve"> will focus on the prevention of homelessness, including tenancy sustainment and seeking housing options, including leading on seeking and developing relationships with Landlords in the privately rented sector. </w:t>
      </w:r>
    </w:p>
    <w:p w14:paraId="66698FE9" w14:textId="4B1EF5FE" w:rsidR="00881A9B" w:rsidRPr="00D10E64" w:rsidRDefault="0023187E" w:rsidP="00881A9B">
      <w:pPr>
        <w:autoSpaceDE w:val="0"/>
        <w:autoSpaceDN w:val="0"/>
        <w:adjustRightInd w:val="0"/>
        <w:jc w:val="both"/>
        <w:rPr>
          <w:rFonts w:ascii="Poppins" w:hAnsi="Poppins" w:cs="Poppins"/>
        </w:rPr>
      </w:pPr>
      <w:r w:rsidRPr="00D10E64">
        <w:rPr>
          <w:rFonts w:ascii="Poppins" w:hAnsi="Poppins" w:cs="Poppins"/>
        </w:rPr>
        <w:t xml:space="preserve">Reporting to the </w:t>
      </w:r>
      <w:r w:rsidR="006748F2" w:rsidRPr="00D10E64">
        <w:rPr>
          <w:rFonts w:ascii="Poppins" w:hAnsi="Poppins" w:cs="Poppins"/>
        </w:rPr>
        <w:t>Community Outreach services manager</w:t>
      </w:r>
      <w:r w:rsidRPr="00D10E64">
        <w:rPr>
          <w:rFonts w:ascii="Poppins" w:hAnsi="Poppins" w:cs="Poppins"/>
        </w:rPr>
        <w:t>, p</w:t>
      </w:r>
      <w:r w:rsidR="00881A9B" w:rsidRPr="00D10E64">
        <w:rPr>
          <w:rFonts w:ascii="Poppins" w:hAnsi="Poppins" w:cs="Poppins"/>
        </w:rPr>
        <w:t xml:space="preserve">rimarily the </w:t>
      </w:r>
      <w:r w:rsidR="00D10E64">
        <w:rPr>
          <w:rFonts w:ascii="Poppins" w:hAnsi="Poppins" w:cs="Poppins"/>
        </w:rPr>
        <w:t xml:space="preserve">Tenancy Support </w:t>
      </w:r>
      <w:r w:rsidR="00881A9B" w:rsidRPr="00D10E64">
        <w:rPr>
          <w:rFonts w:ascii="Poppins" w:hAnsi="Poppins" w:cs="Poppins"/>
        </w:rPr>
        <w:t xml:space="preserve">worker will work in an outreach capacity to support clients to maintain their tenancy and prevent homelessness. This outreach work </w:t>
      </w:r>
      <w:r w:rsidR="00ED3ACA" w:rsidRPr="00D10E64">
        <w:rPr>
          <w:rFonts w:ascii="Poppins" w:hAnsi="Poppins" w:cs="Poppins"/>
        </w:rPr>
        <w:t>will take</w:t>
      </w:r>
      <w:r w:rsidR="00881A9B" w:rsidRPr="00D10E64">
        <w:rPr>
          <w:rFonts w:ascii="Poppins" w:hAnsi="Poppins" w:cs="Poppins"/>
        </w:rPr>
        <w:t xml:space="preserve"> place in </w:t>
      </w:r>
      <w:proofErr w:type="gramStart"/>
      <w:r w:rsidR="00881A9B" w:rsidRPr="00D10E64">
        <w:rPr>
          <w:rFonts w:ascii="Poppins" w:hAnsi="Poppins" w:cs="Poppins"/>
        </w:rPr>
        <w:t>clients</w:t>
      </w:r>
      <w:proofErr w:type="gramEnd"/>
      <w:r w:rsidR="00881A9B" w:rsidRPr="00D10E64">
        <w:rPr>
          <w:rFonts w:ascii="Poppins" w:hAnsi="Poppins" w:cs="Poppins"/>
        </w:rPr>
        <w:t xml:space="preserve"> homes, in temporary accommodation and within the community, </w:t>
      </w:r>
      <w:r w:rsidR="006748F2" w:rsidRPr="00D10E64">
        <w:rPr>
          <w:rFonts w:ascii="Poppins" w:hAnsi="Poppins" w:cs="Poppins"/>
        </w:rPr>
        <w:t xml:space="preserve">and from </w:t>
      </w:r>
      <w:r w:rsidR="00C7645C" w:rsidRPr="00D10E64">
        <w:rPr>
          <w:rFonts w:ascii="Poppins" w:hAnsi="Poppins" w:cs="Poppins"/>
        </w:rPr>
        <w:t>our day hubs</w:t>
      </w:r>
      <w:r w:rsidR="006748F2" w:rsidRPr="00D10E64">
        <w:rPr>
          <w:rFonts w:ascii="Poppins" w:hAnsi="Poppins" w:cs="Poppins"/>
        </w:rPr>
        <w:t xml:space="preserve"> </w:t>
      </w:r>
      <w:r w:rsidR="00881A9B" w:rsidRPr="00D10E64">
        <w:rPr>
          <w:rFonts w:ascii="Poppins" w:hAnsi="Poppins" w:cs="Poppins"/>
        </w:rPr>
        <w:t xml:space="preserve">to support clients in a range of areas such </w:t>
      </w:r>
      <w:proofErr w:type="gramStart"/>
      <w:r w:rsidR="00881A9B" w:rsidRPr="00D10E64">
        <w:rPr>
          <w:rFonts w:ascii="Poppins" w:hAnsi="Poppins" w:cs="Poppins"/>
        </w:rPr>
        <w:t>as;</w:t>
      </w:r>
      <w:proofErr w:type="gramEnd"/>
      <w:r w:rsidR="00881A9B" w:rsidRPr="00D10E64">
        <w:rPr>
          <w:rFonts w:ascii="Poppins" w:hAnsi="Poppins" w:cs="Poppins"/>
        </w:rPr>
        <w:t xml:space="preserve"> tenancy sustainment, homelessness prevention, budgeting, debt support, advocacy, accessing groups and services and attending appointments. </w:t>
      </w:r>
    </w:p>
    <w:p w14:paraId="7AC2BF33" w14:textId="77777777" w:rsidR="00FA11FE" w:rsidRPr="00D10E64" w:rsidRDefault="00FA11FE" w:rsidP="00B673FD">
      <w:pPr>
        <w:pStyle w:val="Heading1"/>
        <w:rPr>
          <w:rFonts w:ascii="Poppins" w:hAnsi="Poppins" w:cs="Poppins"/>
        </w:rPr>
      </w:pPr>
    </w:p>
    <w:p w14:paraId="1C2DF467" w14:textId="77777777" w:rsidR="00881A9B" w:rsidRPr="00D10E64" w:rsidRDefault="00881A9B" w:rsidP="00B673FD">
      <w:pPr>
        <w:pStyle w:val="Heading1"/>
        <w:rPr>
          <w:rFonts w:ascii="Poppins" w:hAnsi="Poppins" w:cs="Poppins"/>
        </w:rPr>
      </w:pPr>
      <w:r w:rsidRPr="00D10E64">
        <w:rPr>
          <w:rFonts w:ascii="Poppins" w:hAnsi="Poppins" w:cs="Poppins"/>
        </w:rPr>
        <w:t xml:space="preserve">Key Responsibilities </w:t>
      </w:r>
    </w:p>
    <w:p w14:paraId="2A05C40C" w14:textId="77777777" w:rsidR="00B673FD" w:rsidRPr="00D10E64" w:rsidRDefault="00B673FD" w:rsidP="00B673FD">
      <w:pPr>
        <w:rPr>
          <w:rFonts w:ascii="Poppins" w:hAnsi="Poppins" w:cs="Poppins"/>
        </w:rPr>
      </w:pPr>
    </w:p>
    <w:p w14:paraId="3A3ED5C7" w14:textId="77777777" w:rsidR="00881A9B" w:rsidRPr="00D10E64" w:rsidRDefault="00881A9B" w:rsidP="00881A9B">
      <w:pPr>
        <w:pStyle w:val="JDsubheading"/>
        <w:rPr>
          <w:rFonts w:ascii="Poppins" w:hAnsi="Poppins" w:cs="Poppins"/>
          <w:sz w:val="22"/>
          <w:szCs w:val="22"/>
        </w:rPr>
      </w:pPr>
      <w:r w:rsidRPr="00D10E64">
        <w:rPr>
          <w:rFonts w:ascii="Poppins" w:hAnsi="Poppins" w:cs="Poppins"/>
          <w:sz w:val="22"/>
          <w:szCs w:val="22"/>
        </w:rPr>
        <w:t>Outreach Support</w:t>
      </w:r>
    </w:p>
    <w:p w14:paraId="179C0FD5" w14:textId="77777777" w:rsidR="00B673FD" w:rsidRPr="00D10E64" w:rsidRDefault="00B673FD" w:rsidP="00B673FD">
      <w:pPr>
        <w:pStyle w:val="JDsubheading"/>
        <w:numPr>
          <w:ilvl w:val="0"/>
          <w:numId w:val="0"/>
        </w:numPr>
        <w:ind w:left="360"/>
        <w:rPr>
          <w:rFonts w:ascii="Poppins" w:hAnsi="Poppins" w:cs="Poppins"/>
          <w:sz w:val="22"/>
          <w:szCs w:val="22"/>
        </w:rPr>
      </w:pPr>
    </w:p>
    <w:p w14:paraId="59181E5E" w14:textId="760A36EC" w:rsidR="00881A9B" w:rsidRPr="00D10E64" w:rsidRDefault="00881A9B" w:rsidP="00B673F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oppins" w:hAnsi="Poppins" w:cs="Poppins"/>
        </w:rPr>
      </w:pPr>
      <w:r w:rsidRPr="00D10E64">
        <w:rPr>
          <w:rFonts w:ascii="Poppins" w:hAnsi="Poppins" w:cs="Poppins"/>
        </w:rPr>
        <w:t xml:space="preserve">Hold a caseload of around </w:t>
      </w:r>
      <w:r w:rsidR="00ED3ACA" w:rsidRPr="00D10E64">
        <w:rPr>
          <w:rFonts w:ascii="Poppins" w:hAnsi="Poppins" w:cs="Poppins"/>
        </w:rPr>
        <w:t>25</w:t>
      </w:r>
      <w:r w:rsidRPr="00D10E64">
        <w:rPr>
          <w:rFonts w:ascii="Poppins" w:hAnsi="Poppins" w:cs="Poppins"/>
        </w:rPr>
        <w:t xml:space="preserve"> individuals at any one time with low to medium support needs</w:t>
      </w:r>
      <w:r w:rsidR="006748F2" w:rsidRPr="00D10E64">
        <w:rPr>
          <w:rFonts w:ascii="Poppins" w:hAnsi="Poppins" w:cs="Poppins"/>
        </w:rPr>
        <w:t xml:space="preserve">. </w:t>
      </w:r>
    </w:p>
    <w:p w14:paraId="0D51DAA3" w14:textId="77777777" w:rsidR="00881A9B" w:rsidRPr="00D10E64" w:rsidRDefault="00881A9B" w:rsidP="00B673F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oppins" w:hAnsi="Poppins" w:cs="Poppins"/>
        </w:rPr>
      </w:pPr>
      <w:r w:rsidRPr="00D10E64">
        <w:rPr>
          <w:rFonts w:ascii="Poppins" w:hAnsi="Poppins" w:cs="Poppins"/>
        </w:rPr>
        <w:t xml:space="preserve">Lead on providing an outreach service to clients within their own homes, including within temporary accommodation and in the community, with the aim of maintaining tenancies and preventing homelessness. </w:t>
      </w:r>
    </w:p>
    <w:p w14:paraId="183D5491" w14:textId="77777777" w:rsidR="00881A9B" w:rsidRPr="00D10E64" w:rsidRDefault="00881A9B" w:rsidP="00B673F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oppins" w:hAnsi="Poppins" w:cs="Poppins"/>
        </w:rPr>
      </w:pPr>
      <w:r w:rsidRPr="00D10E64">
        <w:rPr>
          <w:rFonts w:ascii="Poppins" w:hAnsi="Poppins" w:cs="Poppins"/>
        </w:rPr>
        <w:t xml:space="preserve">Support clients in a range of areas such </w:t>
      </w:r>
      <w:proofErr w:type="gramStart"/>
      <w:r w:rsidRPr="00D10E64">
        <w:rPr>
          <w:rFonts w:ascii="Poppins" w:hAnsi="Poppins" w:cs="Poppins"/>
        </w:rPr>
        <w:t>as;</w:t>
      </w:r>
      <w:proofErr w:type="gramEnd"/>
      <w:r w:rsidRPr="00D10E64">
        <w:rPr>
          <w:rFonts w:ascii="Poppins" w:hAnsi="Poppins" w:cs="Poppins"/>
        </w:rPr>
        <w:t xml:space="preserve"> tenancy sustainment, homelessness prevention, budgeting, debt support, advocacy, accessing groups and services and attending appointments.</w:t>
      </w:r>
    </w:p>
    <w:p w14:paraId="03E1FEBE" w14:textId="77777777" w:rsidR="00881A9B" w:rsidRPr="00D10E64" w:rsidRDefault="00881A9B" w:rsidP="00B673F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oppins" w:hAnsi="Poppins" w:cs="Poppins"/>
        </w:rPr>
      </w:pPr>
      <w:r w:rsidRPr="00D10E64">
        <w:rPr>
          <w:rFonts w:ascii="Poppins" w:hAnsi="Poppins" w:cs="Poppins"/>
        </w:rPr>
        <w:t>Support clients to maintain tenancies, by communicating effectively with landlords and housing providers. With the aim of resolving any housing related issues that they may have, to prevent homelessness.</w:t>
      </w:r>
    </w:p>
    <w:p w14:paraId="0FF67E1E" w14:textId="77777777" w:rsidR="00881A9B" w:rsidRPr="00D10E64" w:rsidRDefault="00881A9B" w:rsidP="00B673F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oppins" w:hAnsi="Poppins" w:cs="Poppins"/>
        </w:rPr>
      </w:pPr>
      <w:r w:rsidRPr="00D10E64">
        <w:rPr>
          <w:rFonts w:ascii="Poppins" w:hAnsi="Poppins" w:cs="Poppins"/>
        </w:rPr>
        <w:t xml:space="preserve">Support clients to access accommodation through the privately rented sector or through other housing providers both supported and unsupported. </w:t>
      </w:r>
      <w:r w:rsidRPr="00D10E64">
        <w:rPr>
          <w:rFonts w:ascii="Poppins" w:hAnsi="Poppins" w:cs="Poppins"/>
        </w:rPr>
        <w:lastRenderedPageBreak/>
        <w:t>This support going include individually tailored ongoing support to maintain housing if needed.</w:t>
      </w:r>
    </w:p>
    <w:p w14:paraId="7E50F61F" w14:textId="45D9B0FE" w:rsidR="00881A9B" w:rsidRPr="00D10E64" w:rsidRDefault="00881A9B" w:rsidP="00B673F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oppins" w:hAnsi="Poppins" w:cs="Poppins"/>
        </w:rPr>
      </w:pPr>
      <w:r w:rsidRPr="00D10E64">
        <w:rPr>
          <w:rFonts w:ascii="Poppins" w:hAnsi="Poppins" w:cs="Poppins"/>
        </w:rPr>
        <w:t xml:space="preserve">Complete daily records of support offered to clients on </w:t>
      </w:r>
      <w:r w:rsidR="00FA11FE" w:rsidRPr="00D10E64">
        <w:rPr>
          <w:rFonts w:ascii="Poppins" w:hAnsi="Poppins" w:cs="Poppins"/>
        </w:rPr>
        <w:t>I</w:t>
      </w:r>
      <w:r w:rsidRPr="00D10E64">
        <w:rPr>
          <w:rFonts w:ascii="Poppins" w:hAnsi="Poppins" w:cs="Poppins"/>
        </w:rPr>
        <w:t>nform</w:t>
      </w:r>
      <w:r w:rsidR="006748F2" w:rsidRPr="00D10E64">
        <w:rPr>
          <w:rFonts w:ascii="Poppins" w:hAnsi="Poppins" w:cs="Poppins"/>
        </w:rPr>
        <w:t>.</w:t>
      </w:r>
      <w:r w:rsidRPr="00D10E64">
        <w:rPr>
          <w:rFonts w:ascii="Poppins" w:hAnsi="Poppins" w:cs="Poppins"/>
        </w:rPr>
        <w:t xml:space="preserve"> </w:t>
      </w:r>
    </w:p>
    <w:p w14:paraId="02FF106E" w14:textId="77777777" w:rsidR="00881A9B" w:rsidRPr="00D10E64" w:rsidRDefault="00881A9B" w:rsidP="00B673F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oppins" w:hAnsi="Poppins" w:cs="Poppins"/>
        </w:rPr>
      </w:pPr>
      <w:r w:rsidRPr="00D10E64">
        <w:rPr>
          <w:rFonts w:ascii="Poppins" w:hAnsi="Poppins" w:cs="Poppins"/>
        </w:rPr>
        <w:t>Maintain good staff and volunteer morale through good communication, ensuring attendance at relevant meetings and attendance at training opportunities.</w:t>
      </w:r>
    </w:p>
    <w:p w14:paraId="0E260788" w14:textId="77777777" w:rsidR="00881A9B" w:rsidRPr="00D10E64" w:rsidRDefault="00881A9B" w:rsidP="00B673F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oppins" w:hAnsi="Poppins" w:cs="Poppins"/>
        </w:rPr>
      </w:pPr>
      <w:r w:rsidRPr="00D10E64">
        <w:rPr>
          <w:rFonts w:ascii="Poppins" w:hAnsi="Poppins" w:cs="Poppins"/>
        </w:rPr>
        <w:t xml:space="preserve">Collate and report on quantitative and qualitative data including numbers of clients sustaining independent living, </w:t>
      </w:r>
      <w:proofErr w:type="gramStart"/>
      <w:r w:rsidRPr="00D10E64">
        <w:rPr>
          <w:rFonts w:ascii="Poppins" w:hAnsi="Poppins" w:cs="Poppins"/>
        </w:rPr>
        <w:t>over view</w:t>
      </w:r>
      <w:proofErr w:type="gramEnd"/>
      <w:r w:rsidRPr="00D10E64">
        <w:rPr>
          <w:rFonts w:ascii="Poppins" w:hAnsi="Poppins" w:cs="Poppins"/>
        </w:rPr>
        <w:t xml:space="preserve"> of their need and support offered </w:t>
      </w:r>
    </w:p>
    <w:p w14:paraId="63FBAF65" w14:textId="77777777" w:rsidR="00881A9B" w:rsidRPr="00D10E64" w:rsidRDefault="00881A9B" w:rsidP="00B673F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oppins" w:hAnsi="Poppins" w:cs="Poppins"/>
        </w:rPr>
      </w:pPr>
      <w:r w:rsidRPr="00D10E64">
        <w:rPr>
          <w:rFonts w:ascii="Poppins" w:hAnsi="Poppins" w:cs="Poppins"/>
        </w:rPr>
        <w:t>Complete referrals to relevant services and agencies that can assist clients in areas of need and follow up on response and outcomes of referrals</w:t>
      </w:r>
    </w:p>
    <w:p w14:paraId="49848F01" w14:textId="77777777" w:rsidR="00881A9B" w:rsidRPr="00D10E64" w:rsidRDefault="00881A9B" w:rsidP="00B673FD">
      <w:pPr>
        <w:pStyle w:val="Heading2"/>
        <w:ind w:left="1080"/>
        <w:jc w:val="both"/>
        <w:rPr>
          <w:rFonts w:ascii="Poppins" w:hAnsi="Poppins" w:cs="Poppins"/>
          <w:sz w:val="22"/>
          <w:szCs w:val="22"/>
        </w:rPr>
      </w:pPr>
    </w:p>
    <w:p w14:paraId="7D6F06FB" w14:textId="77777777" w:rsidR="00881A9B" w:rsidRPr="00D10E64" w:rsidRDefault="00881A9B" w:rsidP="00881A9B">
      <w:pPr>
        <w:pStyle w:val="JDsubheading"/>
        <w:rPr>
          <w:rFonts w:ascii="Poppins" w:hAnsi="Poppins" w:cs="Poppins"/>
          <w:sz w:val="22"/>
          <w:szCs w:val="22"/>
        </w:rPr>
      </w:pPr>
      <w:r w:rsidRPr="00D10E64">
        <w:rPr>
          <w:rFonts w:ascii="Poppins" w:hAnsi="Poppins" w:cs="Poppins"/>
          <w:sz w:val="22"/>
          <w:szCs w:val="22"/>
        </w:rPr>
        <w:t xml:space="preserve">Supporting clients in the local community </w:t>
      </w:r>
    </w:p>
    <w:p w14:paraId="276BC16C" w14:textId="77777777" w:rsidR="00881A9B" w:rsidRPr="00D10E64" w:rsidRDefault="00881A9B" w:rsidP="00881A9B">
      <w:pPr>
        <w:pStyle w:val="JDsubheading"/>
        <w:numPr>
          <w:ilvl w:val="0"/>
          <w:numId w:val="0"/>
        </w:numPr>
        <w:ind w:left="360"/>
        <w:rPr>
          <w:rFonts w:ascii="Poppins" w:hAnsi="Poppins" w:cs="Poppins"/>
          <w:sz w:val="22"/>
          <w:szCs w:val="22"/>
        </w:rPr>
      </w:pPr>
    </w:p>
    <w:p w14:paraId="6BE817FC" w14:textId="2DAC3B80" w:rsidR="00881A9B" w:rsidRPr="00D10E64" w:rsidRDefault="00881A9B" w:rsidP="00B673F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oppins" w:hAnsi="Poppins" w:cs="Poppins"/>
        </w:rPr>
      </w:pPr>
      <w:r w:rsidRPr="00D10E64">
        <w:rPr>
          <w:rFonts w:ascii="Poppins" w:hAnsi="Poppins" w:cs="Poppins"/>
        </w:rPr>
        <w:t>Complete skills/</w:t>
      </w:r>
      <w:r w:rsidR="00D10E64" w:rsidRPr="00D10E64">
        <w:rPr>
          <w:rFonts w:ascii="Poppins" w:hAnsi="Poppins" w:cs="Poppins"/>
        </w:rPr>
        <w:t>goals-based</w:t>
      </w:r>
      <w:r w:rsidRPr="00D10E64">
        <w:rPr>
          <w:rFonts w:ascii="Poppins" w:hAnsi="Poppins" w:cs="Poppins"/>
        </w:rPr>
        <w:t xml:space="preserve"> support plans with clients that follow SMART objectives and complete effective risk management plans.</w:t>
      </w:r>
    </w:p>
    <w:p w14:paraId="41ED10E3" w14:textId="77777777" w:rsidR="00881A9B" w:rsidRPr="00D10E64" w:rsidRDefault="00881A9B" w:rsidP="00B673FD">
      <w:pPr>
        <w:pStyle w:val="JDsubheading"/>
        <w:numPr>
          <w:ilvl w:val="0"/>
          <w:numId w:val="6"/>
        </w:numPr>
        <w:jc w:val="both"/>
        <w:rPr>
          <w:rFonts w:ascii="Poppins" w:hAnsi="Poppins" w:cs="Poppins"/>
          <w:sz w:val="22"/>
          <w:szCs w:val="22"/>
        </w:rPr>
      </w:pPr>
      <w:r w:rsidRPr="00D10E64">
        <w:rPr>
          <w:rFonts w:ascii="Poppins" w:hAnsi="Poppins" w:cs="Poppins"/>
          <w:sz w:val="22"/>
          <w:szCs w:val="22"/>
          <w:u w:val="none"/>
        </w:rPr>
        <w:t>Lead on supporting clients to be referred to specialist services in the community to access support.</w:t>
      </w:r>
    </w:p>
    <w:p w14:paraId="3EADB57F" w14:textId="77777777" w:rsidR="00881A9B" w:rsidRPr="00D10E64" w:rsidRDefault="00881A9B" w:rsidP="00B673FD">
      <w:pPr>
        <w:pStyle w:val="JDsubheading"/>
        <w:numPr>
          <w:ilvl w:val="0"/>
          <w:numId w:val="6"/>
        </w:numPr>
        <w:jc w:val="both"/>
        <w:rPr>
          <w:rFonts w:ascii="Poppins" w:hAnsi="Poppins" w:cs="Poppins"/>
          <w:sz w:val="22"/>
          <w:szCs w:val="22"/>
        </w:rPr>
      </w:pPr>
      <w:r w:rsidRPr="00D10E64">
        <w:rPr>
          <w:rFonts w:ascii="Poppins" w:hAnsi="Poppins" w:cs="Poppins"/>
          <w:sz w:val="22"/>
          <w:szCs w:val="22"/>
          <w:u w:val="none"/>
        </w:rPr>
        <w:t xml:space="preserve">Devise risk assessments with clients and ongoing risk management with clients   </w:t>
      </w:r>
    </w:p>
    <w:p w14:paraId="2918AB98" w14:textId="77777777" w:rsidR="00881A9B" w:rsidRPr="00D10E64" w:rsidRDefault="00881A9B" w:rsidP="00B673FD">
      <w:pPr>
        <w:pStyle w:val="JDsubheading"/>
        <w:numPr>
          <w:ilvl w:val="0"/>
          <w:numId w:val="6"/>
        </w:numPr>
        <w:jc w:val="both"/>
        <w:rPr>
          <w:rFonts w:ascii="Poppins" w:hAnsi="Poppins" w:cs="Poppins"/>
          <w:sz w:val="22"/>
          <w:szCs w:val="22"/>
        </w:rPr>
      </w:pPr>
      <w:r w:rsidRPr="00D10E64">
        <w:rPr>
          <w:rFonts w:ascii="Poppins" w:hAnsi="Poppins" w:cs="Poppins"/>
          <w:sz w:val="22"/>
          <w:szCs w:val="22"/>
          <w:u w:val="none"/>
        </w:rPr>
        <w:t>Offer advice and practical support to clients about completing housing related forms in setting and sustaining tenancies and supporting clients to liaise with their landlords.</w:t>
      </w:r>
    </w:p>
    <w:p w14:paraId="327BB39F" w14:textId="77777777" w:rsidR="00881A9B" w:rsidRPr="00D10E64" w:rsidRDefault="00881A9B" w:rsidP="00B673FD">
      <w:pPr>
        <w:pStyle w:val="JDsubheading"/>
        <w:numPr>
          <w:ilvl w:val="0"/>
          <w:numId w:val="6"/>
        </w:numPr>
        <w:jc w:val="both"/>
        <w:rPr>
          <w:rFonts w:ascii="Poppins" w:hAnsi="Poppins" w:cs="Poppins"/>
          <w:sz w:val="22"/>
          <w:szCs w:val="22"/>
        </w:rPr>
      </w:pPr>
      <w:r w:rsidRPr="00D10E64">
        <w:rPr>
          <w:rFonts w:ascii="Poppins" w:hAnsi="Poppins" w:cs="Poppins"/>
          <w:sz w:val="22"/>
          <w:szCs w:val="22"/>
          <w:u w:val="none"/>
        </w:rPr>
        <w:t>To lead on finding and developing relationships with landlords in the private rented sector, ensuring that you display excellent communication skills to maintain these relationships.</w:t>
      </w:r>
    </w:p>
    <w:p w14:paraId="4EA6A697" w14:textId="77777777" w:rsidR="00881A9B" w:rsidRPr="00D10E64" w:rsidRDefault="00881A9B" w:rsidP="00B673FD">
      <w:pPr>
        <w:pStyle w:val="JDsubheading"/>
        <w:numPr>
          <w:ilvl w:val="0"/>
          <w:numId w:val="6"/>
        </w:numPr>
        <w:jc w:val="both"/>
        <w:rPr>
          <w:rFonts w:ascii="Poppins" w:hAnsi="Poppins" w:cs="Poppins"/>
          <w:sz w:val="22"/>
          <w:szCs w:val="22"/>
        </w:rPr>
      </w:pPr>
      <w:r w:rsidRPr="00D10E64">
        <w:rPr>
          <w:rFonts w:ascii="Poppins" w:hAnsi="Poppins" w:cs="Poppins"/>
          <w:sz w:val="22"/>
          <w:szCs w:val="22"/>
          <w:u w:val="none"/>
        </w:rPr>
        <w:t xml:space="preserve">Advocating for clients where limited opportunities are available to ensure all housing offers and opportunities have been assessed and considered </w:t>
      </w:r>
    </w:p>
    <w:p w14:paraId="6A51C1CD" w14:textId="77777777" w:rsidR="00881A9B" w:rsidRPr="00D10E64" w:rsidRDefault="00881A9B" w:rsidP="00881A9B">
      <w:pPr>
        <w:pStyle w:val="JDsubheading"/>
        <w:numPr>
          <w:ilvl w:val="0"/>
          <w:numId w:val="0"/>
        </w:numPr>
        <w:ind w:left="720"/>
        <w:rPr>
          <w:rFonts w:ascii="Poppins" w:hAnsi="Poppins" w:cs="Poppins"/>
          <w:sz w:val="22"/>
          <w:szCs w:val="22"/>
        </w:rPr>
      </w:pPr>
    </w:p>
    <w:p w14:paraId="5D84B23B" w14:textId="77777777" w:rsidR="00881A9B" w:rsidRPr="00D10E64" w:rsidRDefault="00881A9B" w:rsidP="00881A9B">
      <w:pPr>
        <w:pStyle w:val="JDsubheading"/>
        <w:rPr>
          <w:rFonts w:ascii="Poppins" w:hAnsi="Poppins" w:cs="Poppins"/>
          <w:sz w:val="22"/>
          <w:szCs w:val="22"/>
        </w:rPr>
      </w:pPr>
      <w:r w:rsidRPr="00D10E64">
        <w:rPr>
          <w:rFonts w:ascii="Poppins" w:hAnsi="Poppins" w:cs="Poppins"/>
          <w:sz w:val="22"/>
          <w:szCs w:val="22"/>
        </w:rPr>
        <w:t>Contacts and Networks</w:t>
      </w:r>
    </w:p>
    <w:p w14:paraId="46B67CB1" w14:textId="77777777" w:rsidR="00881A9B" w:rsidRPr="00D10E64" w:rsidRDefault="00881A9B" w:rsidP="00881A9B">
      <w:pPr>
        <w:pStyle w:val="JDsubheading"/>
        <w:numPr>
          <w:ilvl w:val="0"/>
          <w:numId w:val="0"/>
        </w:numPr>
        <w:ind w:left="360"/>
        <w:rPr>
          <w:rFonts w:ascii="Poppins" w:hAnsi="Poppins" w:cs="Poppins"/>
          <w:sz w:val="22"/>
          <w:szCs w:val="22"/>
        </w:rPr>
      </w:pPr>
    </w:p>
    <w:p w14:paraId="61DA646C" w14:textId="4B67D8B0" w:rsidR="00881A9B" w:rsidRPr="00D10E64" w:rsidRDefault="00881A9B" w:rsidP="00B673F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oppins" w:hAnsi="Poppins" w:cs="Poppins"/>
        </w:rPr>
      </w:pPr>
      <w:r w:rsidRPr="00D10E64">
        <w:rPr>
          <w:rFonts w:ascii="Poppins" w:hAnsi="Poppins" w:cs="Poppins"/>
        </w:rPr>
        <w:t>Attend local multi agency meetings focusing on community inclusion and homelessness prevention</w:t>
      </w:r>
      <w:r w:rsidR="006748F2" w:rsidRPr="00D10E64">
        <w:rPr>
          <w:rFonts w:ascii="Poppins" w:hAnsi="Poppins" w:cs="Poppins"/>
        </w:rPr>
        <w:t>.</w:t>
      </w:r>
    </w:p>
    <w:p w14:paraId="124B6013" w14:textId="69F0BEA9" w:rsidR="00881A9B" w:rsidRPr="00D10E64" w:rsidRDefault="00881A9B" w:rsidP="00B673F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oppins" w:hAnsi="Poppins" w:cs="Poppins"/>
        </w:rPr>
      </w:pPr>
      <w:r w:rsidRPr="00D10E64">
        <w:rPr>
          <w:rFonts w:ascii="Poppins" w:hAnsi="Poppins" w:cs="Poppins"/>
        </w:rPr>
        <w:t>Develop good relationship with Local Councils and agencies that can support and assist clients with a range of needs who present at the community hub</w:t>
      </w:r>
      <w:r w:rsidR="006748F2" w:rsidRPr="00D10E64">
        <w:rPr>
          <w:rFonts w:ascii="Poppins" w:hAnsi="Poppins" w:cs="Poppins"/>
        </w:rPr>
        <w:t>.</w:t>
      </w:r>
      <w:r w:rsidRPr="00D10E64">
        <w:rPr>
          <w:rFonts w:ascii="Poppins" w:hAnsi="Poppins" w:cs="Poppins"/>
        </w:rPr>
        <w:t xml:space="preserve"> </w:t>
      </w:r>
    </w:p>
    <w:p w14:paraId="70B16E66" w14:textId="53CF5AB8" w:rsidR="00881A9B" w:rsidRPr="00D10E64" w:rsidRDefault="00881A9B" w:rsidP="00B673F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oppins" w:hAnsi="Poppins" w:cs="Poppins"/>
        </w:rPr>
      </w:pPr>
      <w:r w:rsidRPr="00D10E64">
        <w:rPr>
          <w:rFonts w:ascii="Poppins" w:hAnsi="Poppins" w:cs="Poppins"/>
        </w:rPr>
        <w:t>Maintain relationships with agencies and staff</w:t>
      </w:r>
      <w:r w:rsidR="006748F2" w:rsidRPr="00D10E64">
        <w:rPr>
          <w:rFonts w:ascii="Poppins" w:hAnsi="Poppins" w:cs="Poppins"/>
        </w:rPr>
        <w:t>.</w:t>
      </w:r>
      <w:r w:rsidRPr="00D10E64">
        <w:rPr>
          <w:rFonts w:ascii="Poppins" w:hAnsi="Poppins" w:cs="Poppins"/>
        </w:rPr>
        <w:t xml:space="preserve"> </w:t>
      </w:r>
    </w:p>
    <w:p w14:paraId="61E5336B" w14:textId="54D83250" w:rsidR="00881A9B" w:rsidRPr="00D10E64" w:rsidRDefault="00881A9B" w:rsidP="00B673F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oppins" w:hAnsi="Poppins" w:cs="Poppins"/>
        </w:rPr>
      </w:pPr>
      <w:r w:rsidRPr="00D10E64">
        <w:rPr>
          <w:rFonts w:ascii="Poppins" w:hAnsi="Poppins" w:cs="Poppins"/>
        </w:rPr>
        <w:t>Support all staff to achieve positive outcomes for clients</w:t>
      </w:r>
      <w:r w:rsidR="006748F2" w:rsidRPr="00D10E64">
        <w:rPr>
          <w:rFonts w:ascii="Poppins" w:hAnsi="Poppins" w:cs="Poppins"/>
        </w:rPr>
        <w:t>.</w:t>
      </w:r>
    </w:p>
    <w:p w14:paraId="30F26D28" w14:textId="3D6BB0A9" w:rsidR="00881A9B" w:rsidRPr="00D10E64" w:rsidRDefault="00881A9B" w:rsidP="00B673F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oppins" w:hAnsi="Poppins" w:cs="Poppins"/>
        </w:rPr>
      </w:pPr>
      <w:r w:rsidRPr="00D10E64">
        <w:rPr>
          <w:rFonts w:ascii="Poppins" w:hAnsi="Poppins" w:cs="Poppins"/>
        </w:rPr>
        <w:t xml:space="preserve">Take every opportunity to involve clients in the design and delivery of services and to provide feedback on the </w:t>
      </w:r>
      <w:r w:rsidR="00D10E64" w:rsidRPr="00D10E64">
        <w:rPr>
          <w:rFonts w:ascii="Poppins" w:hAnsi="Poppins" w:cs="Poppins"/>
        </w:rPr>
        <w:t>quality-of-service</w:t>
      </w:r>
      <w:r w:rsidRPr="00D10E64">
        <w:rPr>
          <w:rFonts w:ascii="Poppins" w:hAnsi="Poppins" w:cs="Poppins"/>
        </w:rPr>
        <w:t xml:space="preserve"> provision</w:t>
      </w:r>
      <w:r w:rsidR="006748F2" w:rsidRPr="00D10E64">
        <w:rPr>
          <w:rFonts w:ascii="Poppins" w:hAnsi="Poppins" w:cs="Poppins"/>
        </w:rPr>
        <w:t xml:space="preserve">. </w:t>
      </w:r>
    </w:p>
    <w:p w14:paraId="6EC3FE84" w14:textId="76211D09" w:rsidR="006748F2" w:rsidRPr="00D10E64" w:rsidRDefault="006748F2" w:rsidP="00B673F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oppins" w:hAnsi="Poppins" w:cs="Poppins"/>
        </w:rPr>
      </w:pPr>
      <w:r w:rsidRPr="00D10E64">
        <w:rPr>
          <w:rFonts w:ascii="Poppins" w:hAnsi="Poppins" w:cs="Poppins"/>
        </w:rPr>
        <w:lastRenderedPageBreak/>
        <w:t xml:space="preserve">To organise and run half day surgeries with partner agencies such as the food bank. </w:t>
      </w:r>
    </w:p>
    <w:p w14:paraId="5F5276D7" w14:textId="77777777" w:rsidR="00881A9B" w:rsidRPr="00D10E64" w:rsidRDefault="00881A9B" w:rsidP="00B673FD">
      <w:pPr>
        <w:jc w:val="both"/>
        <w:rPr>
          <w:rFonts w:ascii="Poppins" w:hAnsi="Poppins" w:cs="Poppins"/>
        </w:rPr>
      </w:pPr>
    </w:p>
    <w:p w14:paraId="79A5F1BD" w14:textId="77777777" w:rsidR="00B673FD" w:rsidRPr="00D10E64" w:rsidRDefault="00B673FD" w:rsidP="00B673FD">
      <w:pPr>
        <w:spacing w:after="200" w:line="276" w:lineRule="auto"/>
        <w:contextualSpacing/>
        <w:rPr>
          <w:rFonts w:ascii="Poppins" w:hAnsi="Poppins" w:cs="Poppins"/>
          <w:u w:val="single"/>
        </w:rPr>
      </w:pPr>
      <w:r w:rsidRPr="00D10E64">
        <w:rPr>
          <w:rFonts w:ascii="Poppins" w:hAnsi="Poppins" w:cs="Poppins"/>
          <w:u w:val="single"/>
        </w:rPr>
        <w:t>Equal Opportunities</w:t>
      </w:r>
    </w:p>
    <w:p w14:paraId="6E37E57B" w14:textId="77777777" w:rsidR="00B673FD" w:rsidRPr="00D10E64" w:rsidRDefault="00B673FD" w:rsidP="00B673FD">
      <w:pPr>
        <w:spacing w:after="200" w:line="276" w:lineRule="auto"/>
        <w:contextualSpacing/>
        <w:rPr>
          <w:rFonts w:ascii="Poppins" w:hAnsi="Poppins" w:cs="Poppins"/>
          <w:u w:val="single"/>
        </w:rPr>
      </w:pPr>
    </w:p>
    <w:p w14:paraId="716B8968" w14:textId="77777777" w:rsidR="00B673FD" w:rsidRPr="00D10E64" w:rsidRDefault="00B673FD" w:rsidP="00B673FD">
      <w:pPr>
        <w:numPr>
          <w:ilvl w:val="0"/>
          <w:numId w:val="10"/>
        </w:numPr>
        <w:spacing w:after="200" w:line="276" w:lineRule="auto"/>
        <w:contextualSpacing/>
        <w:rPr>
          <w:rFonts w:ascii="Poppins" w:eastAsia="Times New Roman" w:hAnsi="Poppins" w:cs="Poppins"/>
          <w:sz w:val="24"/>
          <w:szCs w:val="24"/>
        </w:rPr>
      </w:pPr>
      <w:r w:rsidRPr="00D10E64">
        <w:rPr>
          <w:rFonts w:ascii="Poppins" w:eastAsia="Times New Roman" w:hAnsi="Poppins" w:cs="Poppins"/>
        </w:rPr>
        <w:t>Ensure compliance with the organisation’s Equal Opportunities policy and relevant legislation.</w:t>
      </w:r>
    </w:p>
    <w:p w14:paraId="45834002" w14:textId="77777777" w:rsidR="00B673FD" w:rsidRPr="00D10E64" w:rsidRDefault="00B673FD" w:rsidP="00B673FD">
      <w:pPr>
        <w:numPr>
          <w:ilvl w:val="0"/>
          <w:numId w:val="10"/>
        </w:numPr>
        <w:spacing w:after="200" w:line="276" w:lineRule="auto"/>
        <w:contextualSpacing/>
        <w:rPr>
          <w:rFonts w:ascii="Poppins" w:eastAsia="Times New Roman" w:hAnsi="Poppins" w:cs="Poppins"/>
          <w:sz w:val="24"/>
          <w:szCs w:val="24"/>
        </w:rPr>
      </w:pPr>
    </w:p>
    <w:p w14:paraId="573B75DA" w14:textId="77777777" w:rsidR="00B673FD" w:rsidRPr="00D10E64" w:rsidRDefault="00B673FD" w:rsidP="00B673FD">
      <w:pPr>
        <w:rPr>
          <w:rFonts w:ascii="Poppins" w:eastAsia="MS PGothic" w:hAnsi="Poppins" w:cs="Poppins"/>
          <w:u w:val="single"/>
        </w:rPr>
      </w:pPr>
      <w:r w:rsidRPr="00D10E64">
        <w:rPr>
          <w:rFonts w:ascii="Poppins" w:eastAsia="MS PGothic" w:hAnsi="Poppins" w:cs="Poppins"/>
          <w:u w:val="single"/>
        </w:rPr>
        <w:t>Health &amp; Safety</w:t>
      </w:r>
    </w:p>
    <w:p w14:paraId="1F24FFF8" w14:textId="77777777" w:rsidR="00B673FD" w:rsidRPr="00D10E64" w:rsidRDefault="00B673FD" w:rsidP="00B673FD">
      <w:pPr>
        <w:numPr>
          <w:ilvl w:val="0"/>
          <w:numId w:val="9"/>
        </w:numPr>
        <w:spacing w:after="0" w:line="240" w:lineRule="auto"/>
        <w:ind w:left="709" w:hanging="283"/>
        <w:contextualSpacing/>
        <w:jc w:val="both"/>
        <w:rPr>
          <w:rFonts w:ascii="Poppins" w:eastAsia="MS PGothic" w:hAnsi="Poppins" w:cs="Poppins"/>
        </w:rPr>
      </w:pPr>
      <w:r w:rsidRPr="00D10E64">
        <w:rPr>
          <w:rFonts w:ascii="Poppins" w:eastAsia="MS PGothic" w:hAnsi="Poppins" w:cs="Poppins"/>
        </w:rPr>
        <w:t>To ensure the health, safety and security of staff, students, clients, volunteers and members of the public on the premises in all locations in line with the project’s procedures.</w:t>
      </w:r>
    </w:p>
    <w:p w14:paraId="697C836A" w14:textId="77777777" w:rsidR="00B673FD" w:rsidRPr="00D10E64" w:rsidRDefault="00B673FD" w:rsidP="00B673FD">
      <w:pPr>
        <w:jc w:val="both"/>
        <w:rPr>
          <w:rFonts w:ascii="Poppins" w:eastAsia="MS PGothic" w:hAnsi="Poppins" w:cs="Poppins"/>
          <w:u w:val="single"/>
        </w:rPr>
      </w:pPr>
    </w:p>
    <w:p w14:paraId="68CA6DCB" w14:textId="77777777" w:rsidR="00B673FD" w:rsidRPr="00D10E64" w:rsidRDefault="00B673FD" w:rsidP="00B673FD">
      <w:pPr>
        <w:rPr>
          <w:rFonts w:ascii="Poppins" w:eastAsia="MS PGothic" w:hAnsi="Poppins" w:cs="Poppins"/>
          <w:u w:val="single"/>
        </w:rPr>
      </w:pPr>
      <w:r w:rsidRPr="00D10E64">
        <w:rPr>
          <w:rFonts w:ascii="Poppins" w:eastAsia="MS PGothic" w:hAnsi="Poppins" w:cs="Poppins"/>
          <w:u w:val="single"/>
        </w:rPr>
        <w:t>Confidentiality</w:t>
      </w:r>
    </w:p>
    <w:p w14:paraId="38E3015A" w14:textId="77777777" w:rsidR="00B673FD" w:rsidRPr="00D10E64" w:rsidRDefault="00B673FD" w:rsidP="00B673FD">
      <w:pPr>
        <w:numPr>
          <w:ilvl w:val="0"/>
          <w:numId w:val="9"/>
        </w:numPr>
        <w:spacing w:after="0" w:line="240" w:lineRule="auto"/>
        <w:ind w:hanging="294"/>
        <w:contextualSpacing/>
        <w:jc w:val="both"/>
        <w:rPr>
          <w:rFonts w:ascii="Poppins" w:eastAsia="MS PGothic" w:hAnsi="Poppins" w:cs="Poppins"/>
        </w:rPr>
      </w:pPr>
      <w:r w:rsidRPr="00D10E64">
        <w:rPr>
          <w:rFonts w:ascii="Poppins" w:eastAsia="MS PGothic" w:hAnsi="Poppins" w:cs="Poppins"/>
        </w:rPr>
        <w:t>This policy covers all Stonepillow employees and volunteers, all of whom will be required to sign a confidentiality agreement.  Anyone working for Stonepillow who breaches the agreement will be liable to disciplinary action under the staff Disciplinary Procedure.</w:t>
      </w:r>
    </w:p>
    <w:p w14:paraId="36D27327" w14:textId="77777777" w:rsidR="00D10E64" w:rsidRDefault="00D10E64" w:rsidP="00B673FD">
      <w:pPr>
        <w:rPr>
          <w:rFonts w:ascii="Poppins" w:eastAsia="MS PGothic" w:hAnsi="Poppins" w:cs="Poppins"/>
          <w:u w:val="single"/>
        </w:rPr>
      </w:pPr>
    </w:p>
    <w:p w14:paraId="2A6DDC5A" w14:textId="765505F5" w:rsidR="00B673FD" w:rsidRPr="00D10E64" w:rsidRDefault="00B673FD" w:rsidP="00B673FD">
      <w:pPr>
        <w:rPr>
          <w:rFonts w:ascii="Poppins" w:eastAsia="MS PGothic" w:hAnsi="Poppins" w:cs="Poppins"/>
          <w:u w:val="single"/>
        </w:rPr>
      </w:pPr>
      <w:r w:rsidRPr="00D10E64">
        <w:rPr>
          <w:rFonts w:ascii="Poppins" w:eastAsia="MS PGothic" w:hAnsi="Poppins" w:cs="Poppins"/>
          <w:u w:val="single"/>
        </w:rPr>
        <w:t>General</w:t>
      </w:r>
    </w:p>
    <w:p w14:paraId="53AB3CC4" w14:textId="77777777" w:rsidR="00B673FD" w:rsidRPr="00D10E64" w:rsidRDefault="00B673FD" w:rsidP="00B673FD">
      <w:pPr>
        <w:numPr>
          <w:ilvl w:val="0"/>
          <w:numId w:val="9"/>
        </w:numPr>
        <w:spacing w:after="0" w:line="240" w:lineRule="auto"/>
        <w:ind w:hanging="294"/>
        <w:contextualSpacing/>
        <w:jc w:val="both"/>
        <w:rPr>
          <w:rFonts w:ascii="Poppins" w:eastAsia="MS PGothic" w:hAnsi="Poppins" w:cs="Poppins"/>
        </w:rPr>
      </w:pPr>
      <w:r w:rsidRPr="00D10E64">
        <w:rPr>
          <w:rFonts w:ascii="Poppins" w:eastAsia="MS PGothic" w:hAnsi="Poppins" w:cs="Poppins"/>
        </w:rPr>
        <w:t xml:space="preserve">To work as part of a team ensuring information relating to the client(s) and service is communicated appropriately </w:t>
      </w:r>
      <w:proofErr w:type="gramStart"/>
      <w:r w:rsidRPr="00D10E64">
        <w:rPr>
          <w:rFonts w:ascii="Poppins" w:eastAsia="MS PGothic" w:hAnsi="Poppins" w:cs="Poppins"/>
        </w:rPr>
        <w:t>in order to</w:t>
      </w:r>
      <w:proofErr w:type="gramEnd"/>
      <w:r w:rsidRPr="00D10E64">
        <w:rPr>
          <w:rFonts w:ascii="Poppins" w:eastAsia="MS PGothic" w:hAnsi="Poppins" w:cs="Poppins"/>
        </w:rPr>
        <w:t xml:space="preserve"> ensure the continuity of support and service provision.</w:t>
      </w:r>
    </w:p>
    <w:p w14:paraId="6B46FD66" w14:textId="77777777" w:rsidR="00B673FD" w:rsidRPr="00D10E64" w:rsidRDefault="00B673FD" w:rsidP="00B673FD">
      <w:pPr>
        <w:numPr>
          <w:ilvl w:val="0"/>
          <w:numId w:val="9"/>
        </w:numPr>
        <w:spacing w:after="0" w:line="240" w:lineRule="auto"/>
        <w:ind w:hanging="294"/>
        <w:contextualSpacing/>
        <w:jc w:val="both"/>
        <w:rPr>
          <w:rFonts w:ascii="Poppins" w:eastAsia="MS PGothic" w:hAnsi="Poppins" w:cs="Poppins"/>
        </w:rPr>
      </w:pPr>
      <w:r w:rsidRPr="00D10E64">
        <w:rPr>
          <w:rFonts w:ascii="Poppins" w:eastAsia="MS PGothic" w:hAnsi="Poppins" w:cs="Poppins"/>
        </w:rPr>
        <w:t>To attend and contribute to team meetings</w:t>
      </w:r>
      <w:r w:rsidR="00ED3ACA" w:rsidRPr="00D10E64">
        <w:rPr>
          <w:rFonts w:ascii="Poppins" w:eastAsia="MS PGothic" w:hAnsi="Poppins" w:cs="Poppins"/>
        </w:rPr>
        <w:t xml:space="preserve"> and specific meetings relating to this project</w:t>
      </w:r>
    </w:p>
    <w:p w14:paraId="1D7415DD" w14:textId="77777777" w:rsidR="00B673FD" w:rsidRPr="00D10E64" w:rsidRDefault="00B673FD" w:rsidP="00B673FD">
      <w:pPr>
        <w:numPr>
          <w:ilvl w:val="0"/>
          <w:numId w:val="9"/>
        </w:numPr>
        <w:spacing w:after="0" w:line="240" w:lineRule="auto"/>
        <w:ind w:hanging="294"/>
        <w:contextualSpacing/>
        <w:jc w:val="both"/>
        <w:rPr>
          <w:rFonts w:ascii="Poppins" w:eastAsia="MS PGothic" w:hAnsi="Poppins" w:cs="Poppins"/>
        </w:rPr>
      </w:pPr>
      <w:r w:rsidRPr="00D10E64">
        <w:rPr>
          <w:rFonts w:ascii="Poppins" w:eastAsia="MS PGothic" w:hAnsi="Poppins" w:cs="Poppins"/>
        </w:rPr>
        <w:t>To take part in reviews of the service.</w:t>
      </w:r>
    </w:p>
    <w:p w14:paraId="097770AB" w14:textId="77777777" w:rsidR="00B673FD" w:rsidRPr="00D10E64" w:rsidRDefault="00B673FD" w:rsidP="00B673FD">
      <w:pPr>
        <w:numPr>
          <w:ilvl w:val="0"/>
          <w:numId w:val="9"/>
        </w:numPr>
        <w:spacing w:after="0" w:line="240" w:lineRule="auto"/>
        <w:ind w:hanging="294"/>
        <w:contextualSpacing/>
        <w:jc w:val="both"/>
        <w:rPr>
          <w:rFonts w:ascii="Poppins" w:eastAsia="MS PGothic" w:hAnsi="Poppins" w:cs="Poppins"/>
        </w:rPr>
      </w:pPr>
      <w:r w:rsidRPr="00D10E64">
        <w:rPr>
          <w:rFonts w:ascii="Poppins" w:eastAsia="MS PGothic" w:hAnsi="Poppins" w:cs="Poppins"/>
        </w:rPr>
        <w:t>To travel between all Stonepillow Projects as and when required.</w:t>
      </w:r>
    </w:p>
    <w:p w14:paraId="4629F822" w14:textId="77777777" w:rsidR="00B673FD" w:rsidRPr="00D10E64" w:rsidRDefault="00B673FD" w:rsidP="00B673FD">
      <w:pPr>
        <w:numPr>
          <w:ilvl w:val="0"/>
          <w:numId w:val="9"/>
        </w:numPr>
        <w:spacing w:after="0" w:line="240" w:lineRule="auto"/>
        <w:ind w:hanging="294"/>
        <w:contextualSpacing/>
        <w:jc w:val="both"/>
        <w:rPr>
          <w:rFonts w:ascii="Poppins" w:eastAsia="MS PGothic" w:hAnsi="Poppins" w:cs="Poppins"/>
        </w:rPr>
      </w:pPr>
      <w:r w:rsidRPr="00D10E64">
        <w:rPr>
          <w:rFonts w:ascii="Poppins" w:eastAsia="MS PGothic" w:hAnsi="Poppins" w:cs="Poppins"/>
        </w:rPr>
        <w:t>To undertake any other reasonable duties that may be requested from time to time.</w:t>
      </w:r>
    </w:p>
    <w:p w14:paraId="53210A0A" w14:textId="77777777" w:rsidR="00B673FD" w:rsidRPr="00D10E64" w:rsidRDefault="00B673FD" w:rsidP="00B673FD">
      <w:pPr>
        <w:spacing w:after="0" w:line="240" w:lineRule="auto"/>
        <w:ind w:left="720"/>
        <w:contextualSpacing/>
        <w:jc w:val="both"/>
        <w:rPr>
          <w:rFonts w:ascii="Poppins" w:eastAsia="MS PGothic" w:hAnsi="Poppins" w:cs="Poppins"/>
        </w:rPr>
      </w:pPr>
    </w:p>
    <w:p w14:paraId="358B0BBB" w14:textId="77777777" w:rsidR="00B673FD" w:rsidRPr="00D10E64" w:rsidRDefault="00B673FD" w:rsidP="00B673FD">
      <w:pPr>
        <w:rPr>
          <w:rFonts w:ascii="Poppins" w:hAnsi="Poppins" w:cs="Poppins"/>
        </w:rPr>
      </w:pPr>
    </w:p>
    <w:p w14:paraId="324DE691" w14:textId="77777777" w:rsidR="00B673FD" w:rsidRPr="00D10E64" w:rsidRDefault="00B673FD" w:rsidP="00B673FD">
      <w:pPr>
        <w:rPr>
          <w:rFonts w:ascii="Poppins" w:hAnsi="Poppins" w:cs="Poppins"/>
        </w:rPr>
      </w:pPr>
    </w:p>
    <w:p w14:paraId="71931626" w14:textId="77777777" w:rsidR="00B673FD" w:rsidRPr="00D10E64" w:rsidRDefault="00B673FD" w:rsidP="00B673FD">
      <w:pPr>
        <w:rPr>
          <w:rFonts w:ascii="Poppins" w:hAnsi="Poppins" w:cs="Poppins"/>
        </w:rPr>
      </w:pPr>
    </w:p>
    <w:p w14:paraId="32C5A8F7" w14:textId="77777777" w:rsidR="00B673FD" w:rsidRPr="00D10E64" w:rsidRDefault="00B673FD" w:rsidP="00B673FD">
      <w:pPr>
        <w:rPr>
          <w:rFonts w:ascii="Poppins" w:hAnsi="Poppins" w:cs="Poppins"/>
        </w:rPr>
      </w:pPr>
      <w:r w:rsidRPr="00D10E64">
        <w:rPr>
          <w:rFonts w:ascii="Poppins" w:hAnsi="Poppins" w:cs="Poppins"/>
        </w:rPr>
        <w:t>Signed …………………………………………     Date ……………………………………….</w:t>
      </w:r>
    </w:p>
    <w:p w14:paraId="63EFDAA1" w14:textId="77777777" w:rsidR="00B673FD" w:rsidRPr="00D10E64" w:rsidRDefault="00B673FD" w:rsidP="00B673FD">
      <w:pPr>
        <w:rPr>
          <w:rFonts w:ascii="Poppins" w:hAnsi="Poppins" w:cs="Poppins"/>
        </w:rPr>
      </w:pPr>
    </w:p>
    <w:p w14:paraId="03A33699" w14:textId="77777777" w:rsidR="00575F0A" w:rsidRPr="00D10E64" w:rsidRDefault="00575F0A" w:rsidP="00B673FD">
      <w:pPr>
        <w:rPr>
          <w:rFonts w:ascii="Poppins" w:hAnsi="Poppins" w:cs="Poppins"/>
        </w:rPr>
      </w:pPr>
    </w:p>
    <w:sectPr w:rsidR="00575F0A" w:rsidRPr="00D10E6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E916D" w14:textId="77777777" w:rsidR="00014500" w:rsidRDefault="00014500">
      <w:pPr>
        <w:spacing w:after="0" w:line="240" w:lineRule="auto"/>
      </w:pPr>
      <w:r>
        <w:separator/>
      </w:r>
    </w:p>
  </w:endnote>
  <w:endnote w:type="continuationSeparator" w:id="0">
    <w:p w14:paraId="78331D94" w14:textId="77777777" w:rsidR="00014500" w:rsidRDefault="0001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altName w:val="Calibri"/>
    <w:charset w:val="00"/>
    <w:family w:val="auto"/>
    <w:pitch w:val="variable"/>
    <w:sig w:usb0="800000AF" w:usb1="4000004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6FB9D" w14:textId="77777777" w:rsidR="00760E9E" w:rsidRDefault="00760E9E">
    <w:pPr>
      <w:pStyle w:val="Footer"/>
      <w:tabs>
        <w:tab w:val="clear" w:pos="4153"/>
        <w:tab w:val="clear" w:pos="8306"/>
        <w:tab w:val="center" w:pos="5049"/>
        <w:tab w:val="right" w:pos="10098"/>
      </w:tabs>
      <w:rPr>
        <w:rFonts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70E39" w14:textId="77777777" w:rsidR="00014500" w:rsidRDefault="00014500">
      <w:pPr>
        <w:spacing w:after="0" w:line="240" w:lineRule="auto"/>
      </w:pPr>
      <w:r>
        <w:separator/>
      </w:r>
    </w:p>
  </w:footnote>
  <w:footnote w:type="continuationSeparator" w:id="0">
    <w:p w14:paraId="17F9D505" w14:textId="77777777" w:rsidR="00014500" w:rsidRDefault="00014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A3A85" w14:textId="38903EC7" w:rsidR="00D10E64" w:rsidRPr="00D10E64" w:rsidRDefault="00D10E64" w:rsidP="00D10E64">
    <w:pPr>
      <w:pStyle w:val="Header"/>
    </w:pPr>
    <w:r w:rsidRPr="00D10E64">
      <w:drawing>
        <wp:inline distT="0" distB="0" distL="0" distR="0" wp14:anchorId="6ABC8ABB" wp14:editId="6C66E2C8">
          <wp:extent cx="5731510" cy="777875"/>
          <wp:effectExtent l="0" t="0" r="0" b="0"/>
          <wp:docPr id="12128917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3090"/>
    <w:multiLevelType w:val="hybridMultilevel"/>
    <w:tmpl w:val="16121FD2"/>
    <w:lvl w:ilvl="0" w:tplc="080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34B88"/>
    <w:multiLevelType w:val="hybridMultilevel"/>
    <w:tmpl w:val="CA8AC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16DC4"/>
    <w:multiLevelType w:val="hybridMultilevel"/>
    <w:tmpl w:val="07A21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26682"/>
    <w:multiLevelType w:val="hybridMultilevel"/>
    <w:tmpl w:val="C7B6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76D56"/>
    <w:multiLevelType w:val="hybridMultilevel"/>
    <w:tmpl w:val="19B808AA"/>
    <w:lvl w:ilvl="0" w:tplc="4B382F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92DCF"/>
    <w:multiLevelType w:val="hybridMultilevel"/>
    <w:tmpl w:val="0F94E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417AE"/>
    <w:multiLevelType w:val="hybridMultilevel"/>
    <w:tmpl w:val="340AB398"/>
    <w:lvl w:ilvl="0" w:tplc="080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14AA1"/>
    <w:multiLevelType w:val="hybridMultilevel"/>
    <w:tmpl w:val="E4F2B4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A6749"/>
    <w:multiLevelType w:val="hybridMultilevel"/>
    <w:tmpl w:val="7C88FD16"/>
    <w:lvl w:ilvl="0" w:tplc="D33E7E84">
      <w:start w:val="1"/>
      <w:numFmt w:val="decimal"/>
      <w:pStyle w:val="JDsubheading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77228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84953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8594349">
    <w:abstractNumId w:val="7"/>
  </w:num>
  <w:num w:numId="4" w16cid:durableId="1955743466">
    <w:abstractNumId w:val="8"/>
  </w:num>
  <w:num w:numId="5" w16cid:durableId="1932228783">
    <w:abstractNumId w:val="1"/>
  </w:num>
  <w:num w:numId="6" w16cid:durableId="1249120266">
    <w:abstractNumId w:val="3"/>
  </w:num>
  <w:num w:numId="7" w16cid:durableId="907108096">
    <w:abstractNumId w:val="4"/>
  </w:num>
  <w:num w:numId="8" w16cid:durableId="5155070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1560194">
    <w:abstractNumId w:val="2"/>
  </w:num>
  <w:num w:numId="10" w16cid:durableId="19468799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A9B"/>
    <w:rsid w:val="00014500"/>
    <w:rsid w:val="00015EB8"/>
    <w:rsid w:val="0019093B"/>
    <w:rsid w:val="0023187E"/>
    <w:rsid w:val="00340089"/>
    <w:rsid w:val="003C2DF7"/>
    <w:rsid w:val="003D0EDD"/>
    <w:rsid w:val="00413F36"/>
    <w:rsid w:val="00575F0A"/>
    <w:rsid w:val="00655402"/>
    <w:rsid w:val="0066710B"/>
    <w:rsid w:val="006748F2"/>
    <w:rsid w:val="006B5907"/>
    <w:rsid w:val="006B69CB"/>
    <w:rsid w:val="00760E9E"/>
    <w:rsid w:val="007E7062"/>
    <w:rsid w:val="007F79F4"/>
    <w:rsid w:val="00881A9B"/>
    <w:rsid w:val="00977120"/>
    <w:rsid w:val="00B673FD"/>
    <w:rsid w:val="00BC4A77"/>
    <w:rsid w:val="00C05419"/>
    <w:rsid w:val="00C60846"/>
    <w:rsid w:val="00C7645C"/>
    <w:rsid w:val="00CC2970"/>
    <w:rsid w:val="00D06D22"/>
    <w:rsid w:val="00D10E64"/>
    <w:rsid w:val="00ED3ACA"/>
    <w:rsid w:val="00EE3D97"/>
    <w:rsid w:val="00FA11FE"/>
    <w:rsid w:val="00FA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556A9"/>
  <w15:chartTrackingRefBased/>
  <w15:docId w15:val="{07D458E4-A8D4-4C86-A645-CB980CA6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A9B"/>
    <w:rPr>
      <w:rFonts w:ascii="Gotham" w:hAnsi="Gotham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73FD"/>
    <w:pPr>
      <w:keepNext/>
      <w:keepLines/>
      <w:spacing w:before="20" w:after="0" w:line="276" w:lineRule="auto"/>
      <w:outlineLvl w:val="0"/>
    </w:pPr>
    <w:rPr>
      <w:rFonts w:ascii="Arial" w:eastAsiaTheme="majorEastAsia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A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3FD"/>
    <w:rPr>
      <w:rFonts w:ascii="Arial" w:eastAsiaTheme="majorEastAsia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A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881A9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881A9B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81A9B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881A9B"/>
    <w:pPr>
      <w:spacing w:after="0" w:line="240" w:lineRule="auto"/>
      <w:jc w:val="center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881A9B"/>
    <w:rPr>
      <w:rFonts w:ascii="Gotham" w:hAnsi="Gotham"/>
    </w:rPr>
  </w:style>
  <w:style w:type="paragraph" w:customStyle="1" w:styleId="JDsubheading">
    <w:name w:val="JD sub heading"/>
    <w:basedOn w:val="ListParagraph"/>
    <w:link w:val="JDsubheadingChar"/>
    <w:qFormat/>
    <w:rsid w:val="00881A9B"/>
    <w:pPr>
      <w:numPr>
        <w:numId w:val="4"/>
      </w:numPr>
      <w:spacing w:after="0" w:line="240" w:lineRule="auto"/>
    </w:pPr>
    <w:rPr>
      <w:rFonts w:ascii="Arial" w:eastAsia="Times New Roman" w:hAnsi="Arial" w:cs="Times New Roman"/>
      <w:sz w:val="24"/>
      <w:szCs w:val="24"/>
      <w:u w:val="single"/>
    </w:rPr>
  </w:style>
  <w:style w:type="character" w:customStyle="1" w:styleId="JDsubheadingChar">
    <w:name w:val="JD sub heading Char"/>
    <w:basedOn w:val="ListParagraphChar"/>
    <w:link w:val="JDsubheading"/>
    <w:rsid w:val="00881A9B"/>
    <w:rPr>
      <w:rFonts w:ascii="Arial" w:eastAsia="Times New Roman" w:hAnsi="Arial" w:cs="Times New Roman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9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10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64"/>
    <w:rPr>
      <w:rFonts w:ascii="Gotham" w:hAnsi="Goth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7355E-4805-4E29-A718-B82ABEBE1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Paffey</dc:creator>
  <cp:keywords/>
  <dc:description/>
  <cp:lastModifiedBy>Louise Whitby</cp:lastModifiedBy>
  <cp:revision>2</cp:revision>
  <cp:lastPrinted>2020-07-27T09:53:00Z</cp:lastPrinted>
  <dcterms:created xsi:type="dcterms:W3CDTF">2025-06-24T10:54:00Z</dcterms:created>
  <dcterms:modified xsi:type="dcterms:W3CDTF">2025-06-24T10:54:00Z</dcterms:modified>
</cp:coreProperties>
</file>